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79" w:rsidRDefault="00D20398" w:rsidP="00D20398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Helendale</w:t>
      </w:r>
    </w:p>
    <w:p w:rsidR="00D20398" w:rsidRDefault="00D20398" w:rsidP="00D20398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D20398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D20398" w:rsidRPr="00D20398" w:rsidRDefault="00D20398" w:rsidP="00D20398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76EC92A" wp14:editId="7E0A51BF">
            <wp:extent cx="8763000" cy="59817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20398" w:rsidRPr="00D20398" w:rsidSect="00D203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98"/>
    <w:rsid w:val="00C53779"/>
    <w:rsid w:val="00D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AC2ED-78AB-4BC7-BD02-56F1259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56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5</c:v>
                </c:pt>
                <c:pt idx="2">
                  <c:v>9</c:v>
                </c:pt>
                <c:pt idx="3">
                  <c:v>10</c:v>
                </c:pt>
                <c:pt idx="4">
                  <c:v>8</c:v>
                </c:pt>
                <c:pt idx="5">
                  <c:v>9</c:v>
                </c:pt>
                <c:pt idx="7">
                  <c:v>3</c:v>
                </c:pt>
                <c:pt idx="9">
                  <c:v>2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3884328"/>
        <c:axId val="423883544"/>
        <c:axId val="0"/>
      </c:bar3DChart>
      <c:catAx>
        <c:axId val="423884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883544"/>
        <c:crosses val="autoZero"/>
        <c:auto val="1"/>
        <c:lblAlgn val="ctr"/>
        <c:lblOffset val="100"/>
        <c:noMultiLvlLbl val="0"/>
      </c:catAx>
      <c:valAx>
        <c:axId val="423883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3884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0.16848</cdr:x>
      <cdr:y>0.19427</cdr:y>
    </cdr:from>
    <cdr:to>
      <cdr:x>0.61413</cdr:x>
      <cdr:y>0.23567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162050"/>
          <a:ext cx="39052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2,833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0.16739</cdr:x>
      <cdr:y>0.25637</cdr:y>
    </cdr:from>
    <cdr:to>
      <cdr:x>0.57717</cdr:x>
      <cdr:y>0.29618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533525"/>
          <a:ext cx="3590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2,884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0.16739</cdr:x>
      <cdr:y>0.32006</cdr:y>
    </cdr:from>
    <cdr:to>
      <cdr:x>0.54783</cdr:x>
      <cdr:y>0.35987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914525"/>
          <a:ext cx="3333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3,019</a:t>
          </a:r>
          <a:r>
            <a:rPr lang="en-US" sz="1000" i="1"/>
            <a:t> 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0.16848</cdr:x>
      <cdr:y>0.38057</cdr:y>
    </cdr:from>
    <cdr:to>
      <cdr:x>0.53587</cdr:x>
      <cdr:y>0.42357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276475"/>
          <a:ext cx="32194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2,886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0.16739</cdr:x>
      <cdr:y>0.50478</cdr:y>
    </cdr:from>
    <cdr:to>
      <cdr:x>0.51413</cdr:x>
      <cdr:y>0.55255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3019425"/>
          <a:ext cx="30384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2,368 </a:t>
          </a:r>
          <a:r>
            <a:rPr lang="en-US" sz="1000" i="1"/>
            <a:t>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0.16739</cdr:x>
      <cdr:y>0.62898</cdr:y>
    </cdr:from>
    <cdr:to>
      <cdr:x>0.55978</cdr:x>
      <cdr:y>0.67197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3762375"/>
          <a:ext cx="34385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2,255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0.16739</cdr:x>
      <cdr:y>0.69268</cdr:y>
    </cdr:from>
    <cdr:to>
      <cdr:x>0.475</cdr:x>
      <cdr:y>0.73089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4143375"/>
          <a:ext cx="2695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2,061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0.1663</cdr:x>
      <cdr:y>0.75159</cdr:y>
    </cdr:from>
    <cdr:to>
      <cdr:x>0.54457</cdr:x>
      <cdr:y>0.79459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57325" y="4495800"/>
          <a:ext cx="3314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1,766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0.16739</cdr:x>
      <cdr:y>0.81369</cdr:y>
    </cdr:from>
    <cdr:to>
      <cdr:x>0.53478</cdr:x>
      <cdr:y>0.85987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867275"/>
          <a:ext cx="32194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1,729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0.16739</cdr:x>
      <cdr:y>0.87739</cdr:y>
    </cdr:from>
    <cdr:to>
      <cdr:x>0.53696</cdr:x>
      <cdr:y>0.92038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5248275"/>
          <a:ext cx="3238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1,462</a:t>
          </a:r>
          <a:r>
            <a:rPr lang="en-US" sz="1000" i="1"/>
            <a:t> 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0.1663</cdr:x>
      <cdr:y>0.93949</cdr:y>
    </cdr:from>
    <cdr:to>
      <cdr:x>0.54457</cdr:x>
      <cdr:y>0.98248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5619750"/>
          <a:ext cx="3314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1,380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2017-01-24T23:11:00Z</dcterms:created>
  <dcterms:modified xsi:type="dcterms:W3CDTF">2017-01-24T23:20:00Z</dcterms:modified>
</cp:coreProperties>
</file>